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3992" w14:textId="77777777" w:rsidR="000E5D47" w:rsidRDefault="00A93943">
      <w:pPr>
        <w:pStyle w:val="Heading1"/>
      </w:pPr>
      <w:bookmarkStart w:id="0" w:name="subject-access-request-sar-procedure"/>
      <w:r>
        <w:t>Subject Access Request (SAR) Procedure</w:t>
      </w:r>
    </w:p>
    <w:p w14:paraId="3B6C3993" w14:textId="14096BF8" w:rsidR="000E5D47" w:rsidRDefault="001D7AD0">
      <w:pPr>
        <w:pStyle w:val="Heading2"/>
      </w:pPr>
      <w:bookmarkStart w:id="1" w:name="creswell-parish-council"/>
      <w:r>
        <w:t>Doxey</w:t>
      </w:r>
      <w:r w:rsidR="00A93943">
        <w:t xml:space="preserve"> Parish Council</w:t>
      </w:r>
    </w:p>
    <w:p w14:paraId="3B6C3994" w14:textId="77777777" w:rsidR="000E5D47" w:rsidRDefault="000C16B2">
      <w:r>
        <w:pict w14:anchorId="3B6C39EE">
          <v:rect id="_x0000_i1025" style="width:0;height:1.5pt" o:hralign="center" o:hrstd="t" o:hr="t"/>
        </w:pict>
      </w:r>
    </w:p>
    <w:p w14:paraId="3B6C3995" w14:textId="77777777" w:rsidR="000E5D47" w:rsidRDefault="00A93943">
      <w:pPr>
        <w:pStyle w:val="Heading2"/>
      </w:pPr>
      <w:bookmarkStart w:id="2" w:name="purpose"/>
      <w:bookmarkEnd w:id="1"/>
      <w:r>
        <w:t>1. Purpose</w:t>
      </w:r>
    </w:p>
    <w:p w14:paraId="3B6C3996" w14:textId="73385B87" w:rsidR="000E5D47" w:rsidRDefault="00A93943">
      <w:pPr>
        <w:pStyle w:val="FirstParagraph"/>
      </w:pPr>
      <w:r>
        <w:t xml:space="preserve">This procedure sets out how </w:t>
      </w:r>
      <w:r w:rsidR="001D7AD0">
        <w:t>Doxey</w:t>
      </w:r>
      <w:r>
        <w:t xml:space="preserve"> Parish Council (the Council) will handle Subject Access Requests (SARs) in accordance with the UK General Data Protection Regulation (UK GDPR) and the Data Protection Act 2018.</w:t>
      </w:r>
    </w:p>
    <w:p w14:paraId="3B6C3997" w14:textId="77777777" w:rsidR="000E5D47" w:rsidRDefault="00A93943">
      <w:pPr>
        <w:pStyle w:val="BodyText"/>
      </w:pPr>
      <w:r>
        <w:t>It ensures that individuals can exercise their right to access personal data held about them in a lawful, timely, and transparent manner.</w:t>
      </w:r>
    </w:p>
    <w:p w14:paraId="3B6C3998" w14:textId="77777777" w:rsidR="000E5D47" w:rsidRDefault="000C16B2">
      <w:r>
        <w:pict w14:anchorId="3B6C39EF">
          <v:rect id="_x0000_i1026" style="width:0;height:1.5pt" o:hralign="center" o:hrstd="t" o:hr="t"/>
        </w:pict>
      </w:r>
    </w:p>
    <w:p w14:paraId="3B6C3999" w14:textId="77777777" w:rsidR="000E5D47" w:rsidRDefault="00A93943">
      <w:pPr>
        <w:pStyle w:val="Heading2"/>
      </w:pPr>
      <w:bookmarkStart w:id="3" w:name="scope"/>
      <w:bookmarkEnd w:id="2"/>
      <w:r>
        <w:t>2. Scope</w:t>
      </w:r>
    </w:p>
    <w:p w14:paraId="3B6C399A" w14:textId="77777777" w:rsidR="000E5D47" w:rsidRDefault="00A93943">
      <w:pPr>
        <w:pStyle w:val="FirstParagraph"/>
      </w:pPr>
      <w:r>
        <w:t>This procedure applies to all personal data held by the Council in any format, including: - Electronic records - Emails and correspondence - Personnel records - CCTV (if applicable) - Paper files</w:t>
      </w:r>
    </w:p>
    <w:p w14:paraId="3B6C399B" w14:textId="77777777" w:rsidR="000E5D47" w:rsidRDefault="000C16B2">
      <w:r>
        <w:pict w14:anchorId="3B6C39F0">
          <v:rect id="_x0000_i1027" style="width:0;height:1.5pt" o:hralign="center" o:hrstd="t" o:hr="t"/>
        </w:pict>
      </w:r>
    </w:p>
    <w:p w14:paraId="3B6C399C" w14:textId="77777777" w:rsidR="000E5D47" w:rsidRDefault="00A93943">
      <w:pPr>
        <w:pStyle w:val="Heading2"/>
      </w:pPr>
      <w:bookmarkStart w:id="4" w:name="roles-and-responsibilities"/>
      <w:bookmarkEnd w:id="3"/>
      <w:r>
        <w:t>3. Roles and Responsibilities</w:t>
      </w:r>
    </w:p>
    <w:p w14:paraId="3B6C399D" w14:textId="77777777" w:rsidR="000E5D47" w:rsidRDefault="00A93943">
      <w:pPr>
        <w:pStyle w:val="Heading3"/>
      </w:pPr>
      <w:bookmarkStart w:id="5" w:name="X483bc706206c87bc8712ef4980f31832572c1ea"/>
      <w:r>
        <w:t>Clerk to the Council (Data Protection Lead)</w:t>
      </w:r>
    </w:p>
    <w:p w14:paraId="3B6C399E" w14:textId="77777777" w:rsidR="000E5D47" w:rsidRDefault="00A93943">
      <w:pPr>
        <w:pStyle w:val="Compact"/>
        <w:numPr>
          <w:ilvl w:val="0"/>
          <w:numId w:val="2"/>
        </w:numPr>
      </w:pPr>
      <w:r>
        <w:t>Acts as the main point of contact for SARs</w:t>
      </w:r>
    </w:p>
    <w:p w14:paraId="3B6C399F" w14:textId="77777777" w:rsidR="000E5D47" w:rsidRDefault="00A93943">
      <w:pPr>
        <w:pStyle w:val="Compact"/>
        <w:numPr>
          <w:ilvl w:val="0"/>
          <w:numId w:val="2"/>
        </w:numPr>
      </w:pPr>
      <w:r>
        <w:t>Logs and manages requests</w:t>
      </w:r>
    </w:p>
    <w:p w14:paraId="3B6C39A0" w14:textId="77777777" w:rsidR="000E5D47" w:rsidRDefault="00A93943">
      <w:pPr>
        <w:pStyle w:val="Compact"/>
        <w:numPr>
          <w:ilvl w:val="0"/>
          <w:numId w:val="2"/>
        </w:numPr>
      </w:pPr>
      <w:r>
        <w:t>Coordinates responses</w:t>
      </w:r>
    </w:p>
    <w:p w14:paraId="3B6C39A1" w14:textId="77777777" w:rsidR="000E5D47" w:rsidRDefault="00A93943">
      <w:pPr>
        <w:pStyle w:val="Compact"/>
        <w:numPr>
          <w:ilvl w:val="0"/>
          <w:numId w:val="2"/>
        </w:numPr>
      </w:pPr>
      <w:r>
        <w:t>Ensures compliance with statutory deadlines</w:t>
      </w:r>
    </w:p>
    <w:p w14:paraId="3B6C39A2" w14:textId="77777777" w:rsidR="000E5D47" w:rsidRDefault="00A93943">
      <w:pPr>
        <w:pStyle w:val="Heading3"/>
      </w:pPr>
      <w:bookmarkStart w:id="6" w:name="councillors-and-staff"/>
      <w:bookmarkEnd w:id="5"/>
      <w:r>
        <w:t>Councillors and Staff</w:t>
      </w:r>
    </w:p>
    <w:p w14:paraId="3B6C39A3" w14:textId="77777777" w:rsidR="000E5D47" w:rsidRDefault="00A93943">
      <w:pPr>
        <w:pStyle w:val="Compact"/>
        <w:numPr>
          <w:ilvl w:val="0"/>
          <w:numId w:val="3"/>
        </w:numPr>
      </w:pPr>
      <w:r>
        <w:t>Must forward any SAR immediately to the Clerk</w:t>
      </w:r>
    </w:p>
    <w:p w14:paraId="3B6C39A4" w14:textId="77777777" w:rsidR="000E5D47" w:rsidRDefault="00A93943">
      <w:pPr>
        <w:pStyle w:val="Compact"/>
        <w:numPr>
          <w:ilvl w:val="0"/>
          <w:numId w:val="3"/>
        </w:numPr>
      </w:pPr>
      <w:r>
        <w:t>Assist in locating personal data when requested</w:t>
      </w:r>
    </w:p>
    <w:p w14:paraId="3B6C39A5" w14:textId="77777777" w:rsidR="000E5D47" w:rsidRDefault="000C16B2">
      <w:r>
        <w:pict w14:anchorId="3B6C39F1">
          <v:rect id="_x0000_i1028" style="width:0;height:1.5pt" o:hralign="center" o:hrstd="t" o:hr="t"/>
        </w:pict>
      </w:r>
    </w:p>
    <w:p w14:paraId="3B6C39A6" w14:textId="77777777" w:rsidR="000E5D47" w:rsidRDefault="00A93943">
      <w:pPr>
        <w:pStyle w:val="Heading2"/>
      </w:pPr>
      <w:bookmarkStart w:id="7" w:name="what-is-a-subject-access-request"/>
      <w:bookmarkEnd w:id="4"/>
      <w:bookmarkEnd w:id="6"/>
      <w:r>
        <w:t>4. What is a Subject Access Request?</w:t>
      </w:r>
    </w:p>
    <w:p w14:paraId="3B6C39A7" w14:textId="77777777" w:rsidR="000E5D47" w:rsidRDefault="00A93943">
      <w:pPr>
        <w:pStyle w:val="FirstParagraph"/>
      </w:pPr>
      <w:r>
        <w:t>A SAR is a request from an individual asking: - Whether the Council holds their personal data - To access that data - To understand how it is being used</w:t>
      </w:r>
    </w:p>
    <w:p w14:paraId="3B6C39A8" w14:textId="77777777" w:rsidR="000E5D47" w:rsidRDefault="00A93943">
      <w:pPr>
        <w:pStyle w:val="BodyText"/>
      </w:pPr>
      <w:r>
        <w:lastRenderedPageBreak/>
        <w:t>Requests can be made: - In writing (email, letter, social media) - Verbally (must be recorded)</w:t>
      </w:r>
    </w:p>
    <w:p w14:paraId="3B6C39A9" w14:textId="77777777" w:rsidR="000E5D47" w:rsidRDefault="000C16B2">
      <w:r>
        <w:pict w14:anchorId="3B6C39F2">
          <v:rect id="_x0000_i1029" style="width:0;height:1.5pt" o:hralign="center" o:hrstd="t" o:hr="t"/>
        </w:pict>
      </w:r>
    </w:p>
    <w:p w14:paraId="3B6C39AA" w14:textId="77777777" w:rsidR="000E5D47" w:rsidRDefault="00A93943">
      <w:pPr>
        <w:pStyle w:val="Heading2"/>
      </w:pPr>
      <w:bookmarkStart w:id="8" w:name="receiving-requests"/>
      <w:bookmarkEnd w:id="7"/>
      <w:r>
        <w:t>5. Receiving Requests</w:t>
      </w:r>
    </w:p>
    <w:p w14:paraId="3B6C39AB" w14:textId="77777777" w:rsidR="000E5D47" w:rsidRDefault="00A93943">
      <w:pPr>
        <w:pStyle w:val="FirstParagraph"/>
      </w:pPr>
      <w:r>
        <w:t>A valid SAR must include: - Sufficient information to identify the requester - Enough detail to locate the data requested</w:t>
      </w:r>
    </w:p>
    <w:p w14:paraId="3B6C39AC" w14:textId="77777777" w:rsidR="000E5D47" w:rsidRDefault="00A93943">
      <w:pPr>
        <w:pStyle w:val="BodyText"/>
      </w:pPr>
      <w:r>
        <w:t>The Council may request: - Proof of identity (e.g. ID documents) - Clarification if the request is unclear</w:t>
      </w:r>
    </w:p>
    <w:p w14:paraId="3B6C39AD" w14:textId="77777777" w:rsidR="000E5D47" w:rsidRDefault="000C16B2">
      <w:r>
        <w:pict w14:anchorId="3B6C39F3">
          <v:rect id="_x0000_i1030" style="width:0;height:1.5pt" o:hralign="center" o:hrstd="t" o:hr="t"/>
        </w:pict>
      </w:r>
    </w:p>
    <w:p w14:paraId="3B6C39AE" w14:textId="77777777" w:rsidR="000E5D47" w:rsidRDefault="00A93943">
      <w:pPr>
        <w:pStyle w:val="Heading2"/>
      </w:pPr>
      <w:bookmarkStart w:id="9" w:name="logging-and-acknowledgement"/>
      <w:bookmarkEnd w:id="8"/>
      <w:r>
        <w:t>6. Logging and Acknowledgement</w:t>
      </w:r>
    </w:p>
    <w:p w14:paraId="3B6C39AF" w14:textId="77777777" w:rsidR="000E5D47" w:rsidRDefault="00A93943">
      <w:pPr>
        <w:pStyle w:val="Compact"/>
        <w:numPr>
          <w:ilvl w:val="0"/>
          <w:numId w:val="4"/>
        </w:numPr>
      </w:pPr>
      <w:r>
        <w:t>All SARs will be recorded in a SAR Register</w:t>
      </w:r>
    </w:p>
    <w:p w14:paraId="3B6C39B0" w14:textId="77777777" w:rsidR="000E5D47" w:rsidRDefault="00A93943">
      <w:pPr>
        <w:pStyle w:val="Compact"/>
        <w:numPr>
          <w:ilvl w:val="0"/>
          <w:numId w:val="4"/>
        </w:numPr>
      </w:pPr>
      <w:r>
        <w:t xml:space="preserve">Acknowledgement will be issued within </w:t>
      </w:r>
      <w:r>
        <w:rPr>
          <w:b/>
          <w:bCs/>
        </w:rPr>
        <w:t>3 working days</w:t>
      </w:r>
    </w:p>
    <w:p w14:paraId="3B6C39B1" w14:textId="77777777" w:rsidR="000E5D47" w:rsidRDefault="00A93943">
      <w:pPr>
        <w:pStyle w:val="Heading3"/>
      </w:pPr>
      <w:bookmarkStart w:id="10" w:name="template-acknowledgement"/>
      <w:r>
        <w:t>Template – Acknowledgement</w:t>
      </w:r>
    </w:p>
    <w:p w14:paraId="3B6C39B2" w14:textId="77777777" w:rsidR="000E5D47" w:rsidRDefault="00A93943">
      <w:pPr>
        <w:pStyle w:val="BlockText"/>
      </w:pPr>
      <w:r>
        <w:t>We acknowledge receipt of your Subject Access Request dated [date].</w:t>
      </w:r>
      <w:r>
        <w:br/>
        <w:t>We will respond within one calendar month in accordance with data protection legislation.</w:t>
      </w:r>
    </w:p>
    <w:p w14:paraId="3B6C39B3" w14:textId="77777777" w:rsidR="000E5D47" w:rsidRDefault="000C16B2">
      <w:r>
        <w:pict w14:anchorId="3B6C39F4">
          <v:rect id="_x0000_i1031" style="width:0;height:1.5pt" o:hralign="center" o:hrstd="t" o:hr="t"/>
        </w:pict>
      </w:r>
    </w:p>
    <w:p w14:paraId="3B6C39B4" w14:textId="77777777" w:rsidR="000E5D47" w:rsidRDefault="00A93943">
      <w:pPr>
        <w:pStyle w:val="Heading2"/>
      </w:pPr>
      <w:bookmarkStart w:id="11" w:name="time-limits"/>
      <w:bookmarkEnd w:id="9"/>
      <w:bookmarkEnd w:id="10"/>
      <w:r>
        <w:t>7. Time Limits</w:t>
      </w:r>
    </w:p>
    <w:p w14:paraId="3B6C39B5" w14:textId="77777777" w:rsidR="000E5D47" w:rsidRDefault="00A93943">
      <w:pPr>
        <w:pStyle w:val="Compact"/>
        <w:numPr>
          <w:ilvl w:val="0"/>
          <w:numId w:val="5"/>
        </w:numPr>
      </w:pPr>
      <w:r>
        <w:t xml:space="preserve">Standard response time: </w:t>
      </w:r>
      <w:r>
        <w:rPr>
          <w:b/>
          <w:bCs/>
        </w:rPr>
        <w:t>1 calendar month</w:t>
      </w:r>
    </w:p>
    <w:p w14:paraId="3B6C39B6" w14:textId="77777777" w:rsidR="000E5D47" w:rsidRDefault="00A93943">
      <w:pPr>
        <w:pStyle w:val="Compact"/>
        <w:numPr>
          <w:ilvl w:val="0"/>
          <w:numId w:val="5"/>
        </w:numPr>
      </w:pPr>
      <w:r>
        <w:t xml:space="preserve">May be extended by up to </w:t>
      </w:r>
      <w:r>
        <w:rPr>
          <w:b/>
          <w:bCs/>
        </w:rPr>
        <w:t>2 further months</w:t>
      </w:r>
      <w:r>
        <w:t xml:space="preserve"> for complex requests</w:t>
      </w:r>
    </w:p>
    <w:p w14:paraId="3B6C39B7" w14:textId="77777777" w:rsidR="000E5D47" w:rsidRDefault="00A93943">
      <w:pPr>
        <w:pStyle w:val="Compact"/>
        <w:numPr>
          <w:ilvl w:val="0"/>
          <w:numId w:val="5"/>
        </w:numPr>
      </w:pPr>
      <w:r>
        <w:t>The requester will be informed if an extension is required</w:t>
      </w:r>
    </w:p>
    <w:p w14:paraId="3B6C39B8" w14:textId="77777777" w:rsidR="000E5D47" w:rsidRDefault="000C16B2">
      <w:r>
        <w:pict w14:anchorId="3B6C39F5">
          <v:rect id="_x0000_i1032" style="width:0;height:1.5pt" o:hralign="center" o:hrstd="t" o:hr="t"/>
        </w:pict>
      </w:r>
    </w:p>
    <w:p w14:paraId="3B6C39B9" w14:textId="77777777" w:rsidR="000E5D47" w:rsidRDefault="00A93943">
      <w:pPr>
        <w:pStyle w:val="Heading2"/>
      </w:pPr>
      <w:bookmarkStart w:id="12" w:name="identity-verification"/>
      <w:bookmarkEnd w:id="11"/>
      <w:r>
        <w:t>8. Identity Verification</w:t>
      </w:r>
    </w:p>
    <w:p w14:paraId="3B6C39BA" w14:textId="77777777" w:rsidR="000E5D47" w:rsidRDefault="00A93943">
      <w:pPr>
        <w:pStyle w:val="FirstParagraph"/>
      </w:pPr>
      <w:r>
        <w:t>Before releasing data, the Council must be satisfied of the requester’s identity.</w:t>
      </w:r>
    </w:p>
    <w:p w14:paraId="3B6C39BB" w14:textId="77777777" w:rsidR="000E5D47" w:rsidRDefault="00A93943">
      <w:pPr>
        <w:pStyle w:val="BodyText"/>
      </w:pPr>
      <w:r>
        <w:t>Acceptable forms of ID may include: - Passport - Driving licence - Utility bill</w:t>
      </w:r>
    </w:p>
    <w:p w14:paraId="3B6C39BC" w14:textId="77777777" w:rsidR="000E5D47" w:rsidRDefault="00A93943">
      <w:pPr>
        <w:pStyle w:val="BodyText"/>
      </w:pPr>
      <w:r>
        <w:t>Processing will pause until identity is verified.</w:t>
      </w:r>
    </w:p>
    <w:p w14:paraId="3B6C39BD" w14:textId="77777777" w:rsidR="000E5D47" w:rsidRDefault="000C16B2">
      <w:r>
        <w:pict w14:anchorId="3B6C39F6">
          <v:rect id="_x0000_i1033" style="width:0;height:1.5pt" o:hralign="center" o:hrstd="t" o:hr="t"/>
        </w:pict>
      </w:r>
    </w:p>
    <w:p w14:paraId="3B6C39BE" w14:textId="77777777" w:rsidR="000E5D47" w:rsidRDefault="00A93943">
      <w:pPr>
        <w:pStyle w:val="Heading2"/>
      </w:pPr>
      <w:bookmarkStart w:id="13" w:name="searching-for-information"/>
      <w:bookmarkEnd w:id="12"/>
      <w:r>
        <w:t>9. Searching for Information</w:t>
      </w:r>
    </w:p>
    <w:p w14:paraId="3B6C39BF" w14:textId="77777777" w:rsidR="000E5D47" w:rsidRDefault="00A93943">
      <w:pPr>
        <w:pStyle w:val="FirstParagraph"/>
      </w:pPr>
      <w:r>
        <w:t>The Clerk will: 1. Identify relevant systems and records 2. Request searches from staff if necessary 3. Compile all relevant personal data</w:t>
      </w:r>
    </w:p>
    <w:p w14:paraId="3B6C39C0" w14:textId="77777777" w:rsidR="000E5D47" w:rsidRDefault="000C16B2">
      <w:r>
        <w:lastRenderedPageBreak/>
        <w:pict w14:anchorId="3B6C39F7">
          <v:rect id="_x0000_i1034" style="width:0;height:1.5pt" o:hralign="center" o:hrstd="t" o:hr="t"/>
        </w:pict>
      </w:r>
    </w:p>
    <w:p w14:paraId="3B6C39C1" w14:textId="77777777" w:rsidR="000E5D47" w:rsidRDefault="00A93943">
      <w:pPr>
        <w:pStyle w:val="Heading2"/>
      </w:pPr>
      <w:bookmarkStart w:id="14" w:name="reviewing-information"/>
      <w:bookmarkEnd w:id="13"/>
      <w:r>
        <w:t>10. Reviewing Information</w:t>
      </w:r>
    </w:p>
    <w:p w14:paraId="3B6C39C2" w14:textId="77777777" w:rsidR="000E5D47" w:rsidRDefault="00A93943">
      <w:pPr>
        <w:pStyle w:val="FirstParagraph"/>
      </w:pPr>
      <w:r>
        <w:t>Before disclosure, the Council will: - Check for third-party data - Apply exemptions where necessary - Redact information that cannot be disclosed</w:t>
      </w:r>
    </w:p>
    <w:p w14:paraId="3B6C39C3" w14:textId="77777777" w:rsidR="000E5D47" w:rsidRDefault="000C16B2">
      <w:r>
        <w:pict w14:anchorId="3B6C39F8">
          <v:rect id="_x0000_i1035" style="width:0;height:1.5pt" o:hralign="center" o:hrstd="t" o:hr="t"/>
        </w:pict>
      </w:r>
    </w:p>
    <w:p w14:paraId="3B6C39C4" w14:textId="77777777" w:rsidR="000E5D47" w:rsidRDefault="00A93943">
      <w:pPr>
        <w:pStyle w:val="Heading2"/>
      </w:pPr>
      <w:bookmarkStart w:id="15" w:name="exemptions"/>
      <w:bookmarkEnd w:id="14"/>
      <w:r>
        <w:t>11. Exemptions</w:t>
      </w:r>
    </w:p>
    <w:p w14:paraId="3B6C39C5" w14:textId="77777777" w:rsidR="000E5D47" w:rsidRDefault="00A93943">
      <w:pPr>
        <w:pStyle w:val="FirstParagraph"/>
      </w:pPr>
      <w:r>
        <w:t>Information may be withheld where exemptions apply, including: - Third-party personal data - Confidential information - Legal privilege</w:t>
      </w:r>
    </w:p>
    <w:p w14:paraId="3B6C39C6" w14:textId="77777777" w:rsidR="000E5D47" w:rsidRDefault="00A93943">
      <w:pPr>
        <w:pStyle w:val="BodyText"/>
      </w:pPr>
      <w:r>
        <w:t>Any refusal will be clearly explained.</w:t>
      </w:r>
    </w:p>
    <w:p w14:paraId="3B6C39C7" w14:textId="77777777" w:rsidR="000E5D47" w:rsidRDefault="000C16B2">
      <w:r>
        <w:pict w14:anchorId="3B6C39F9">
          <v:rect id="_x0000_i1036" style="width:0;height:1.5pt" o:hralign="center" o:hrstd="t" o:hr="t"/>
        </w:pict>
      </w:r>
    </w:p>
    <w:p w14:paraId="3B6C39C8" w14:textId="77777777" w:rsidR="000E5D47" w:rsidRDefault="00A93943">
      <w:pPr>
        <w:pStyle w:val="Heading2"/>
      </w:pPr>
      <w:bookmarkStart w:id="16" w:name="providing-the-response"/>
      <w:bookmarkEnd w:id="15"/>
      <w:r>
        <w:t>12. Providing the Response</w:t>
      </w:r>
    </w:p>
    <w:p w14:paraId="3B6C39C9" w14:textId="77777777" w:rsidR="000E5D47" w:rsidRDefault="00A93943">
      <w:pPr>
        <w:pStyle w:val="FirstParagraph"/>
      </w:pPr>
      <w:r>
        <w:t>The response will include: - Confirmation of whether data is held - A copy of the personal data - Information on how the data is used</w:t>
      </w:r>
    </w:p>
    <w:p w14:paraId="3B6C39CA" w14:textId="77777777" w:rsidR="000E5D47" w:rsidRDefault="00A93943">
      <w:pPr>
        <w:pStyle w:val="BodyText"/>
      </w:pPr>
      <w:r>
        <w:t>Data will be provided: - Electronically where possible - In a secure format</w:t>
      </w:r>
    </w:p>
    <w:p w14:paraId="3B6C39CB" w14:textId="77777777" w:rsidR="000E5D47" w:rsidRDefault="000C16B2">
      <w:r>
        <w:pict w14:anchorId="3B6C39FA">
          <v:rect id="_x0000_i1037" style="width:0;height:1.5pt" o:hralign="center" o:hrstd="t" o:hr="t"/>
        </w:pict>
      </w:r>
    </w:p>
    <w:p w14:paraId="3B6C39CC" w14:textId="77777777" w:rsidR="000E5D47" w:rsidRDefault="00A93943">
      <w:pPr>
        <w:pStyle w:val="Heading2"/>
      </w:pPr>
      <w:bookmarkStart w:id="17" w:name="fees"/>
      <w:bookmarkEnd w:id="16"/>
      <w:r>
        <w:t>13. Fees</w:t>
      </w:r>
    </w:p>
    <w:p w14:paraId="3B6C39CD" w14:textId="77777777" w:rsidR="000E5D47" w:rsidRDefault="00A93943">
      <w:pPr>
        <w:pStyle w:val="FirstParagraph"/>
      </w:pPr>
      <w:r>
        <w:t>SARs are normally free of charge.</w:t>
      </w:r>
    </w:p>
    <w:p w14:paraId="3B6C39CE" w14:textId="77777777" w:rsidR="000E5D47" w:rsidRDefault="00A93943">
      <w:pPr>
        <w:pStyle w:val="BodyText"/>
      </w:pPr>
      <w:r>
        <w:t>A reasonable fee may be charged if: - The request is manifestly unfounded or excessive - Additional copies are requested</w:t>
      </w:r>
    </w:p>
    <w:p w14:paraId="3B6C39CF" w14:textId="77777777" w:rsidR="000E5D47" w:rsidRDefault="000C16B2">
      <w:r>
        <w:pict w14:anchorId="3B6C39FB">
          <v:rect id="_x0000_i1038" style="width:0;height:1.5pt" o:hralign="center" o:hrstd="t" o:hr="t"/>
        </w:pict>
      </w:r>
    </w:p>
    <w:p w14:paraId="3B6C39D0" w14:textId="77777777" w:rsidR="000E5D47" w:rsidRDefault="00A93943">
      <w:pPr>
        <w:pStyle w:val="Heading2"/>
      </w:pPr>
      <w:bookmarkStart w:id="18" w:name="refusals"/>
      <w:bookmarkEnd w:id="17"/>
      <w:r>
        <w:t>14. Refusals</w:t>
      </w:r>
    </w:p>
    <w:p w14:paraId="3B6C39D1" w14:textId="77777777" w:rsidR="000E5D47" w:rsidRDefault="00A93943">
      <w:pPr>
        <w:pStyle w:val="FirstParagraph"/>
      </w:pPr>
      <w:r>
        <w:t>Requests may be refused if: - They are manifestly unfounded or excessive - Identity cannot be verified</w:t>
      </w:r>
    </w:p>
    <w:p w14:paraId="3B6C39D4" w14:textId="77777777" w:rsidR="000E5D47" w:rsidRDefault="000C16B2">
      <w:bookmarkStart w:id="19" w:name="template-refusal-response"/>
      <w:r>
        <w:pict w14:anchorId="3B6C39FC">
          <v:rect id="_x0000_i1039" style="width:0;height:1.5pt" o:hralign="center" o:hrstd="t" o:hr="t"/>
        </w:pict>
      </w:r>
    </w:p>
    <w:p w14:paraId="3B6C39D5" w14:textId="77777777" w:rsidR="000E5D47" w:rsidRDefault="00A93943">
      <w:pPr>
        <w:pStyle w:val="Heading2"/>
      </w:pPr>
      <w:bookmarkStart w:id="20" w:name="internal-review"/>
      <w:bookmarkEnd w:id="18"/>
      <w:bookmarkEnd w:id="19"/>
      <w:r>
        <w:t>15. Internal Review</w:t>
      </w:r>
    </w:p>
    <w:p w14:paraId="3B6C39D6" w14:textId="77777777" w:rsidR="000E5D47" w:rsidRDefault="00A93943">
      <w:pPr>
        <w:pStyle w:val="FirstParagraph"/>
      </w:pPr>
      <w:r>
        <w:t>Applicants may request a review of the response.</w:t>
      </w:r>
    </w:p>
    <w:p w14:paraId="3B6C39D7" w14:textId="77777777" w:rsidR="000E5D47" w:rsidRDefault="00A93943">
      <w:pPr>
        <w:pStyle w:val="Compact"/>
        <w:numPr>
          <w:ilvl w:val="0"/>
          <w:numId w:val="6"/>
        </w:numPr>
      </w:pPr>
      <w:r>
        <w:t>Reviews will be handled by a different officer or the Council</w:t>
      </w:r>
    </w:p>
    <w:p w14:paraId="3B6C39D8" w14:textId="77777777" w:rsidR="000E5D47" w:rsidRDefault="00A93943">
      <w:pPr>
        <w:pStyle w:val="Compact"/>
        <w:numPr>
          <w:ilvl w:val="0"/>
          <w:numId w:val="6"/>
        </w:numPr>
      </w:pPr>
      <w:r>
        <w:t xml:space="preserve">Response within </w:t>
      </w:r>
      <w:r>
        <w:rPr>
          <w:b/>
          <w:bCs/>
        </w:rPr>
        <w:t>1 month</w:t>
      </w:r>
    </w:p>
    <w:p w14:paraId="3B6C39D9" w14:textId="77777777" w:rsidR="000E5D47" w:rsidRDefault="000C16B2">
      <w:r>
        <w:lastRenderedPageBreak/>
        <w:pict w14:anchorId="3B6C39FD">
          <v:rect id="_x0000_i1040" style="width:0;height:1.5pt" o:hralign="center" o:hrstd="t" o:hr="t"/>
        </w:pict>
      </w:r>
    </w:p>
    <w:p w14:paraId="3B6C39DA" w14:textId="77777777" w:rsidR="000E5D47" w:rsidRDefault="00A93943">
      <w:pPr>
        <w:pStyle w:val="Heading2"/>
      </w:pPr>
      <w:bookmarkStart w:id="21" w:name="complaints"/>
      <w:bookmarkEnd w:id="20"/>
      <w:r>
        <w:t>16. Complaints</w:t>
      </w:r>
    </w:p>
    <w:p w14:paraId="3B6C39DB" w14:textId="77777777" w:rsidR="000E5D47" w:rsidRDefault="00A93943">
      <w:pPr>
        <w:pStyle w:val="FirstParagraph"/>
      </w:pPr>
      <w:r>
        <w:t>If dissatisfied, individuals may contact the Information Commissioner’s Office (ICO).</w:t>
      </w:r>
    </w:p>
    <w:p w14:paraId="3B6C39DC" w14:textId="77777777" w:rsidR="000E5D47" w:rsidRDefault="000C16B2">
      <w:r>
        <w:pict w14:anchorId="3B6C39FE">
          <v:rect id="_x0000_i1041" style="width:0;height:1.5pt" o:hralign="center" o:hrstd="t" o:hr="t"/>
        </w:pict>
      </w:r>
    </w:p>
    <w:p w14:paraId="3B6C39DD" w14:textId="77777777" w:rsidR="000E5D47" w:rsidRDefault="00A93943">
      <w:pPr>
        <w:pStyle w:val="Heading2"/>
      </w:pPr>
      <w:bookmarkStart w:id="22" w:name="records-management"/>
      <w:bookmarkEnd w:id="21"/>
      <w:r>
        <w:t>17. Records Management</w:t>
      </w:r>
    </w:p>
    <w:p w14:paraId="3B6C39DE" w14:textId="77777777" w:rsidR="000E5D47" w:rsidRDefault="00A93943">
      <w:pPr>
        <w:pStyle w:val="FirstParagraph"/>
      </w:pPr>
      <w:r>
        <w:t>The Council will: - Maintain secure records - Follow retention schedules - Ensure personal data is accurate and up to date</w:t>
      </w:r>
    </w:p>
    <w:p w14:paraId="3B6C39DF" w14:textId="77777777" w:rsidR="000E5D47" w:rsidRDefault="000C16B2">
      <w:r>
        <w:pict w14:anchorId="3B6C39FF">
          <v:rect id="_x0000_i1042" style="width:0;height:1.5pt" o:hralign="center" o:hrstd="t" o:hr="t"/>
        </w:pict>
      </w:r>
    </w:p>
    <w:p w14:paraId="3B6C39E0" w14:textId="77777777" w:rsidR="000E5D47" w:rsidRDefault="00A93943">
      <w:pPr>
        <w:pStyle w:val="Heading2"/>
      </w:pPr>
      <w:bookmarkStart w:id="23" w:name="monitoring-and-review"/>
      <w:bookmarkEnd w:id="22"/>
      <w:r>
        <w:t>18. Monitoring and Review</w:t>
      </w:r>
    </w:p>
    <w:p w14:paraId="3B6C39E1" w14:textId="77777777" w:rsidR="000E5D47" w:rsidRDefault="00A93943">
      <w:pPr>
        <w:pStyle w:val="Compact"/>
        <w:numPr>
          <w:ilvl w:val="0"/>
          <w:numId w:val="7"/>
        </w:numPr>
      </w:pPr>
      <w:r>
        <w:t>This procedure will be reviewed annually</w:t>
      </w:r>
    </w:p>
    <w:p w14:paraId="3B6C39E2" w14:textId="77777777" w:rsidR="000E5D47" w:rsidRDefault="00A93943">
      <w:pPr>
        <w:pStyle w:val="Compact"/>
        <w:numPr>
          <w:ilvl w:val="0"/>
          <w:numId w:val="7"/>
        </w:numPr>
      </w:pPr>
      <w:r>
        <w:t>The SAR Register will be monitored for compliance</w:t>
      </w:r>
    </w:p>
    <w:p w14:paraId="3B6C39E3" w14:textId="77777777" w:rsidR="000E5D47" w:rsidRDefault="000C16B2">
      <w:r>
        <w:pict w14:anchorId="3B6C3A00">
          <v:rect id="_x0000_i1043" style="width:0;height:1.5pt" o:hralign="center" o:hrstd="t" o:hr="t"/>
        </w:pict>
      </w:r>
    </w:p>
    <w:p w14:paraId="3B6C39E4" w14:textId="77777777" w:rsidR="000E5D47" w:rsidRDefault="00A93943">
      <w:pPr>
        <w:pStyle w:val="Heading2"/>
      </w:pPr>
      <w:bookmarkStart w:id="24" w:name="sar-workflow-summary"/>
      <w:bookmarkEnd w:id="23"/>
      <w:r>
        <w:t>19. SAR Workflow (Summary)</w:t>
      </w:r>
    </w:p>
    <w:p w14:paraId="3B6C39E5" w14:textId="77777777" w:rsidR="000E5D47" w:rsidRDefault="00A93943">
      <w:pPr>
        <w:pStyle w:val="Compact"/>
        <w:numPr>
          <w:ilvl w:val="0"/>
          <w:numId w:val="8"/>
        </w:numPr>
      </w:pPr>
      <w:r>
        <w:t>Request received → logged</w:t>
      </w:r>
    </w:p>
    <w:p w14:paraId="3B6C39E6" w14:textId="77777777" w:rsidR="000E5D47" w:rsidRDefault="00A93943">
      <w:pPr>
        <w:pStyle w:val="Compact"/>
        <w:numPr>
          <w:ilvl w:val="0"/>
          <w:numId w:val="8"/>
        </w:numPr>
      </w:pPr>
      <w:r>
        <w:t>Identity verified</w:t>
      </w:r>
    </w:p>
    <w:p w14:paraId="3B6C39E7" w14:textId="77777777" w:rsidR="000E5D47" w:rsidRDefault="00A93943">
      <w:pPr>
        <w:pStyle w:val="Compact"/>
        <w:numPr>
          <w:ilvl w:val="0"/>
          <w:numId w:val="8"/>
        </w:numPr>
      </w:pPr>
      <w:r>
        <w:t>Acknowledged within 3 days</w:t>
      </w:r>
    </w:p>
    <w:p w14:paraId="3B6C39E8" w14:textId="77777777" w:rsidR="000E5D47" w:rsidRDefault="00A93943">
      <w:pPr>
        <w:pStyle w:val="Compact"/>
        <w:numPr>
          <w:ilvl w:val="0"/>
          <w:numId w:val="8"/>
        </w:numPr>
      </w:pPr>
      <w:r>
        <w:t>Data located and reviewed</w:t>
      </w:r>
    </w:p>
    <w:p w14:paraId="3B6C39E9" w14:textId="77777777" w:rsidR="000E5D47" w:rsidRDefault="00A93943">
      <w:pPr>
        <w:pStyle w:val="Compact"/>
        <w:numPr>
          <w:ilvl w:val="0"/>
          <w:numId w:val="8"/>
        </w:numPr>
      </w:pPr>
      <w:r>
        <w:t>Response issued within 1 month</w:t>
      </w:r>
    </w:p>
    <w:p w14:paraId="3B6C39EA" w14:textId="77777777" w:rsidR="000E5D47" w:rsidRDefault="00A93943">
      <w:pPr>
        <w:pStyle w:val="Compact"/>
        <w:numPr>
          <w:ilvl w:val="0"/>
          <w:numId w:val="8"/>
        </w:numPr>
      </w:pPr>
      <w:r>
        <w:t>Review (if requested)</w:t>
      </w:r>
    </w:p>
    <w:p w14:paraId="3B6C39EB" w14:textId="77777777" w:rsidR="000E5D47" w:rsidRDefault="000C16B2">
      <w:r>
        <w:pict w14:anchorId="3B6C3A01">
          <v:rect id="_x0000_i1044" style="width:0;height:1.5pt" o:hralign="center" o:hrstd="t" o:hr="t"/>
        </w:pict>
      </w:r>
    </w:p>
    <w:p w14:paraId="3B6C39EC" w14:textId="06B8299A" w:rsidR="000E5D47" w:rsidRDefault="00A93943">
      <w:pPr>
        <w:pStyle w:val="FirstParagraph"/>
      </w:pPr>
      <w:r>
        <w:rPr>
          <w:b/>
          <w:bCs/>
        </w:rPr>
        <w:t xml:space="preserve">Adopted by </w:t>
      </w:r>
      <w:r w:rsidR="001D7AD0">
        <w:rPr>
          <w:b/>
          <w:bCs/>
        </w:rPr>
        <w:t>Doxey</w:t>
      </w:r>
      <w:r>
        <w:rPr>
          <w:b/>
          <w:bCs/>
        </w:rPr>
        <w:t xml:space="preserve"> Parish Council on:</w:t>
      </w:r>
      <w:r>
        <w:t xml:space="preserve"> </w:t>
      </w:r>
      <w:r w:rsidR="00533A05">
        <w:t>1</w:t>
      </w:r>
      <w:r w:rsidR="001D7AD0">
        <w:t>4</w:t>
      </w:r>
      <w:r w:rsidR="0026149D" w:rsidRPr="0026149D">
        <w:rPr>
          <w:vertAlign w:val="superscript"/>
        </w:rPr>
        <w:t>th</w:t>
      </w:r>
      <w:r w:rsidR="0026149D">
        <w:t xml:space="preserve"> May 2026</w:t>
      </w:r>
    </w:p>
    <w:p w14:paraId="3B6C39ED" w14:textId="3EC4254C" w:rsidR="000E5D47" w:rsidRDefault="00A93943">
      <w:pPr>
        <w:pStyle w:val="BodyText"/>
      </w:pPr>
      <w:r>
        <w:rPr>
          <w:b/>
          <w:bCs/>
        </w:rPr>
        <w:t>Next Review Date:</w:t>
      </w:r>
      <w:r>
        <w:t xml:space="preserve"> </w:t>
      </w:r>
      <w:r w:rsidR="0026149D">
        <w:t>May 2027</w:t>
      </w:r>
      <w:bookmarkEnd w:id="0"/>
      <w:bookmarkEnd w:id="24"/>
    </w:p>
    <w:sectPr w:rsidR="000E5D4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1587E2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38A0F1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7C23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23505713">
    <w:abstractNumId w:val="0"/>
  </w:num>
  <w:num w:numId="2" w16cid:durableId="365370400">
    <w:abstractNumId w:val="1"/>
  </w:num>
  <w:num w:numId="3" w16cid:durableId="409350588">
    <w:abstractNumId w:val="1"/>
  </w:num>
  <w:num w:numId="4" w16cid:durableId="1537086110">
    <w:abstractNumId w:val="1"/>
  </w:num>
  <w:num w:numId="5" w16cid:durableId="1687977243">
    <w:abstractNumId w:val="1"/>
  </w:num>
  <w:num w:numId="6" w16cid:durableId="69934844">
    <w:abstractNumId w:val="1"/>
  </w:num>
  <w:num w:numId="7" w16cid:durableId="572661862">
    <w:abstractNumId w:val="1"/>
  </w:num>
  <w:num w:numId="8" w16cid:durableId="102721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D47"/>
    <w:rsid w:val="000E5D47"/>
    <w:rsid w:val="001D7AD0"/>
    <w:rsid w:val="0026149D"/>
    <w:rsid w:val="003E550C"/>
    <w:rsid w:val="00533A05"/>
    <w:rsid w:val="005371C0"/>
    <w:rsid w:val="007709D8"/>
    <w:rsid w:val="00A93943"/>
    <w:rsid w:val="00B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3992"/>
  <w15:docId w15:val="{7D62091D-A719-4E23-B56A-96D6D46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Clerk Doxey PC</cp:lastModifiedBy>
  <cp:revision>5</cp:revision>
  <dcterms:created xsi:type="dcterms:W3CDTF">2026-03-23T10:50:00Z</dcterms:created>
  <dcterms:modified xsi:type="dcterms:W3CDTF">2026-03-27T10:15:00Z</dcterms:modified>
</cp:coreProperties>
</file>